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</w:rPr>
        <w:t>阜沙镇阜东村股份合作经济联合社“工改工”宗地项目“三旧”改造方案</w:t>
      </w:r>
    </w:p>
    <w:p>
      <w:pPr>
        <w:spacing w:line="574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6"/>
          <w:sz w:val="44"/>
          <w:szCs w:val="44"/>
        </w:rPr>
      </w:pP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根据中山市城市更新（“三旧”改造）专项规划和现行控制性详细规划，阜沙镇人民政府拟对位于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阜沙镇阜东村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的阜东村股份合作经济联合社用地进行改造，由土地权利人阜东村股份合作经济联合社自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主改造，采取全面改造的改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造方式。改造方案如下：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color w:val="000000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</w:rPr>
        <w:t>一、改造地块基本情况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color w:val="000000"/>
          <w:spacing w:val="-6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pacing w:val="-6"/>
          <w:sz w:val="32"/>
          <w:szCs w:val="32"/>
        </w:rPr>
        <w:t>（一）总体情况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000000"/>
          <w:spacing w:val="-6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改造地块位于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阜沙镇阜东村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，北至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东阜公路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，东至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阜东村民居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南至旭日东升幼儿园，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西至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合沃电子科技有限公司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。 项目总用地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0.2203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公顷（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2202.90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平方米，折合约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.3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亩）。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color w:val="000000"/>
          <w:spacing w:val="-6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pacing w:val="-6"/>
          <w:sz w:val="32"/>
          <w:szCs w:val="32"/>
        </w:rPr>
        <w:t>（二）标图入库情况</w:t>
      </w:r>
    </w:p>
    <w:p>
      <w:pPr>
        <w:spacing w:line="574" w:lineRule="exact"/>
        <w:ind w:firstLine="616" w:firstLineChars="200"/>
        <w:rPr>
          <w:rFonts w:hint="default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改造地块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正在办理标图建库，地块图斑编号为44200068553，图斑面积0.2203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公顷（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2202.90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平方米，折合约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3.3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亩）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依据《“三旧”改造标图入库工作指南》可按照特殊情形4，改造前后均为工业用途，入库时不受上盖物占地比例限制。待标图入库完成后补充最终标图入库情况。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color w:val="000000"/>
          <w:spacing w:val="-6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pacing w:val="-6"/>
          <w:sz w:val="32"/>
          <w:szCs w:val="32"/>
        </w:rPr>
        <w:t>（三）权属情况</w:t>
      </w:r>
    </w:p>
    <w:p>
      <w:pPr>
        <w:spacing w:line="574" w:lineRule="exact"/>
        <w:ind w:firstLine="616" w:firstLineChars="200"/>
        <w:rPr>
          <w:rFonts w:hint="default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改造范围内全部属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集体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建设用地，土地用途为工业，改造涉及的土地已经确权、登记，土地证号为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粤（2021）中山市不动产权第0360965号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，为土地权利人阜东村股份合作经济联合社自200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月实际开始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作办公用地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使用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改造地块原有土地证号为集(2000)060377号，土地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用途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为办公，土地权属为阜沙镇阜东村民委员会，该土地证于2021年4月申请办理遗失、注销手续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。阜东村股份合作经济联合社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于2021年12月重新办理土地使用权证，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土地用途为工业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土地证号为粤（2021）中山市不动产权第0360965号。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color w:val="000000"/>
          <w:spacing w:val="-6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pacing w:val="-6"/>
          <w:sz w:val="32"/>
          <w:szCs w:val="32"/>
        </w:rPr>
        <w:t>（四）土地现状情况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改造范围内现有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栋建筑物，为阜东村股份合作经济联合社自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200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开始使用，无合法规划报建等手续，原有建筑面积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1419.78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平方米，现状容积率0.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，作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阜东村委会使用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。该地块目前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未进行拆除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。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改造主体地块不涉及到抵押、闲置、历史文化资源要素等情况。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color w:val="000000"/>
          <w:spacing w:val="-6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pacing w:val="-6"/>
          <w:sz w:val="32"/>
          <w:szCs w:val="32"/>
        </w:rPr>
        <w:t>（五）规划情况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改造主体地块符合土地利用总体规划、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规划条件论证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，已纳入《中山市城市更新（“三旧”改造）专项规划（2020-2035）》。其中，在土地利用总体规划中，属城镇建设用地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0.2203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公顷（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2202.90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平方米，折合约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.3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亩）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。在《中山市阜沙镇工业用地规划条件论证报告》（中府函〔2022〕325号）中，一类工业用地0.2203公顷（2202.9平方米，折合约3.3亩），规划容积率2.0-3.5，绿地率10%-15%，建筑密度35%-60%，生产性建筑高度≤50米，配套设施建筑高度≤100米。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改造主体地块不涉及永久基本农田、生态保护红线等管控要求，位于城镇开发边界范围内。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color w:val="000000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</w:rPr>
        <w:t>二、改造意愿情况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改造项目涉及阜东村股份合作经济联合社1个权利主体，阜沙镇人民政府已按照法律法规，就改造范围、土地现状、改造主体及拟改造情况等事项征询其改造意愿，改造主体同意将涉及土地、房屋纳入改造范围。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color w:val="000000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</w:rPr>
        <w:t>三、改造主体及拟改造情况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根据有关规划要求，改造项目严格按照土地利用总体规划、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规划条件论证报告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管控要求实施建设。在规划中属非建设用地部分，按照非建设用地进行管控；在控制性详细规划中属道路等公益性用地部分，日后阜沙镇人民政府按规划开发建设时，改造主体应无偿将用地交给阜沙镇人民政府使用。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该改造项目属“工改工”宗地项目，拟采取权利人自主改造方式，拟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阜东村股份合作经济联合社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作为改造主体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实施全面改造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根据该用地中山市建设用地规划条件变更批复书（业务编号：121152022110010）中变更其他要求第一点：“根据《阜沙镇阜东村产业园集中配建生活配套设施设计方案》，土地证号中府国用（2002）字第060838号及中府国用（2006）字第060234号在该用地集中配置行政办公及生活服务设施，本用地所有建筑可作为行政办公及生活服务设施设置。”改造主体实施改造后将用于工业用地行政办公及生活服务设施设置。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改造后在符合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规划条件论证报告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的基础上，容积率不小于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.0，新建建筑面积不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少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于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6608.79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平方米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不包含不计容建筑面积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，不保留原有建筑。</w:t>
      </w:r>
      <w:bookmarkStart w:id="0" w:name="_GoBack"/>
      <w:bookmarkEnd w:id="0"/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项目相关情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况符合国家《产业结构调整指导目录》、《中山市人民政府关于印发中山市“三线一单”生态环境分区管控方案的通知》、《中山市涉挥发性有机物项目环保准入管理规定》。项目将用于工业厂房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行政办公及生活服务设施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设置，不涉及产值、税收监管。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color w:val="000000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</w:rPr>
        <w:t>四、资金筹措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改造项目由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阜东村股份合作经济联合社投入资金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1800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其中自有资金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，银行融资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1700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。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color w:val="000000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</w:rPr>
        <w:t>五、开发时序</w:t>
      </w:r>
    </w:p>
    <w:p>
      <w:pPr>
        <w:spacing w:line="574" w:lineRule="exact"/>
        <w:ind w:firstLine="616" w:firstLineChars="200"/>
        <w:rPr>
          <w:rFonts w:hint="default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开发周期为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年，一期整体开发，开发时间为2023年5月，拟投入资金1800万元，拟建建筑面积不少于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6608.79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平方米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不包含不计容建筑面积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主要实施工业厂房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行政办公及生活服务设施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。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color w:val="000000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</w:rPr>
        <w:t>六、实施监管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详见项目《实施监管协议》。</w:t>
      </w: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2F"/>
    <w:rsid w:val="000105BA"/>
    <w:rsid w:val="00012643"/>
    <w:rsid w:val="0003435C"/>
    <w:rsid w:val="000362F6"/>
    <w:rsid w:val="000546C7"/>
    <w:rsid w:val="0008164A"/>
    <w:rsid w:val="00083EB6"/>
    <w:rsid w:val="000955FB"/>
    <w:rsid w:val="00096018"/>
    <w:rsid w:val="000B2BEB"/>
    <w:rsid w:val="000C7645"/>
    <w:rsid w:val="000F2A32"/>
    <w:rsid w:val="000F75E8"/>
    <w:rsid w:val="00146276"/>
    <w:rsid w:val="00153D08"/>
    <w:rsid w:val="00156D20"/>
    <w:rsid w:val="0019038A"/>
    <w:rsid w:val="00192A5D"/>
    <w:rsid w:val="0019581D"/>
    <w:rsid w:val="00195D1D"/>
    <w:rsid w:val="001977D7"/>
    <w:rsid w:val="00197BCC"/>
    <w:rsid w:val="001A4BCC"/>
    <w:rsid w:val="001C5AFB"/>
    <w:rsid w:val="001D1E4E"/>
    <w:rsid w:val="001E15EE"/>
    <w:rsid w:val="00211262"/>
    <w:rsid w:val="002351DC"/>
    <w:rsid w:val="00247D64"/>
    <w:rsid w:val="00251DEF"/>
    <w:rsid w:val="00264151"/>
    <w:rsid w:val="002706DB"/>
    <w:rsid w:val="00273593"/>
    <w:rsid w:val="0027380F"/>
    <w:rsid w:val="00274E11"/>
    <w:rsid w:val="0027789A"/>
    <w:rsid w:val="002812EF"/>
    <w:rsid w:val="00281CB9"/>
    <w:rsid w:val="00282334"/>
    <w:rsid w:val="002A1867"/>
    <w:rsid w:val="002A74E7"/>
    <w:rsid w:val="002E04B4"/>
    <w:rsid w:val="002F5BD4"/>
    <w:rsid w:val="0030206B"/>
    <w:rsid w:val="00336268"/>
    <w:rsid w:val="00355598"/>
    <w:rsid w:val="00361AB0"/>
    <w:rsid w:val="00381A6A"/>
    <w:rsid w:val="0039167A"/>
    <w:rsid w:val="003923F8"/>
    <w:rsid w:val="00396870"/>
    <w:rsid w:val="003A47B8"/>
    <w:rsid w:val="003C4979"/>
    <w:rsid w:val="003D1955"/>
    <w:rsid w:val="003E0960"/>
    <w:rsid w:val="003F0C29"/>
    <w:rsid w:val="003F6B20"/>
    <w:rsid w:val="00413794"/>
    <w:rsid w:val="0044709C"/>
    <w:rsid w:val="004508E0"/>
    <w:rsid w:val="004645CE"/>
    <w:rsid w:val="004736C8"/>
    <w:rsid w:val="00481882"/>
    <w:rsid w:val="00493944"/>
    <w:rsid w:val="00493BE8"/>
    <w:rsid w:val="004A0A96"/>
    <w:rsid w:val="004A0D2C"/>
    <w:rsid w:val="004D6D26"/>
    <w:rsid w:val="00503285"/>
    <w:rsid w:val="00513FD2"/>
    <w:rsid w:val="0052597C"/>
    <w:rsid w:val="005564D5"/>
    <w:rsid w:val="00561A1E"/>
    <w:rsid w:val="00567120"/>
    <w:rsid w:val="005735B8"/>
    <w:rsid w:val="005735DE"/>
    <w:rsid w:val="0059070F"/>
    <w:rsid w:val="005D142E"/>
    <w:rsid w:val="005D5CB0"/>
    <w:rsid w:val="005F511E"/>
    <w:rsid w:val="005F60F2"/>
    <w:rsid w:val="00603FC1"/>
    <w:rsid w:val="006079B8"/>
    <w:rsid w:val="0062719C"/>
    <w:rsid w:val="00627727"/>
    <w:rsid w:val="00627A1C"/>
    <w:rsid w:val="006419C2"/>
    <w:rsid w:val="0066621F"/>
    <w:rsid w:val="0067196A"/>
    <w:rsid w:val="00674EDC"/>
    <w:rsid w:val="00683F6B"/>
    <w:rsid w:val="0068464E"/>
    <w:rsid w:val="006C6F51"/>
    <w:rsid w:val="006E0E06"/>
    <w:rsid w:val="006F720F"/>
    <w:rsid w:val="0071450A"/>
    <w:rsid w:val="00714766"/>
    <w:rsid w:val="007152CA"/>
    <w:rsid w:val="00725B3A"/>
    <w:rsid w:val="00734395"/>
    <w:rsid w:val="00741E78"/>
    <w:rsid w:val="007500D1"/>
    <w:rsid w:val="00774392"/>
    <w:rsid w:val="00774FAA"/>
    <w:rsid w:val="007A6A04"/>
    <w:rsid w:val="007B111D"/>
    <w:rsid w:val="007B6539"/>
    <w:rsid w:val="007C03A3"/>
    <w:rsid w:val="007C6E78"/>
    <w:rsid w:val="008139FD"/>
    <w:rsid w:val="00844C6D"/>
    <w:rsid w:val="00847D7C"/>
    <w:rsid w:val="00865D45"/>
    <w:rsid w:val="008664BD"/>
    <w:rsid w:val="00872D2F"/>
    <w:rsid w:val="00877027"/>
    <w:rsid w:val="008853C7"/>
    <w:rsid w:val="00892AB8"/>
    <w:rsid w:val="008A247E"/>
    <w:rsid w:val="008B48B7"/>
    <w:rsid w:val="008B562F"/>
    <w:rsid w:val="008C34AA"/>
    <w:rsid w:val="008E5740"/>
    <w:rsid w:val="00900BE4"/>
    <w:rsid w:val="00904BB4"/>
    <w:rsid w:val="00925959"/>
    <w:rsid w:val="0094247D"/>
    <w:rsid w:val="0094389D"/>
    <w:rsid w:val="009503D2"/>
    <w:rsid w:val="0096131B"/>
    <w:rsid w:val="009869F0"/>
    <w:rsid w:val="009916C4"/>
    <w:rsid w:val="009A05D8"/>
    <w:rsid w:val="009A7D42"/>
    <w:rsid w:val="009B7524"/>
    <w:rsid w:val="009D67B9"/>
    <w:rsid w:val="009D795D"/>
    <w:rsid w:val="009E45A7"/>
    <w:rsid w:val="009E57AD"/>
    <w:rsid w:val="009E6848"/>
    <w:rsid w:val="009F005A"/>
    <w:rsid w:val="009F6483"/>
    <w:rsid w:val="00A064D8"/>
    <w:rsid w:val="00A12250"/>
    <w:rsid w:val="00A16869"/>
    <w:rsid w:val="00A34817"/>
    <w:rsid w:val="00A357F9"/>
    <w:rsid w:val="00A45B92"/>
    <w:rsid w:val="00A934E9"/>
    <w:rsid w:val="00AA1AA4"/>
    <w:rsid w:val="00AB540B"/>
    <w:rsid w:val="00AB64E0"/>
    <w:rsid w:val="00B1124F"/>
    <w:rsid w:val="00B203E6"/>
    <w:rsid w:val="00B5680A"/>
    <w:rsid w:val="00B62E51"/>
    <w:rsid w:val="00B903C6"/>
    <w:rsid w:val="00BF21B6"/>
    <w:rsid w:val="00C01179"/>
    <w:rsid w:val="00C014AC"/>
    <w:rsid w:val="00C234F1"/>
    <w:rsid w:val="00C2572C"/>
    <w:rsid w:val="00C31FBD"/>
    <w:rsid w:val="00C412E1"/>
    <w:rsid w:val="00C46121"/>
    <w:rsid w:val="00C46AC9"/>
    <w:rsid w:val="00C61B2F"/>
    <w:rsid w:val="00C647DE"/>
    <w:rsid w:val="00CB2EE1"/>
    <w:rsid w:val="00CB5CE5"/>
    <w:rsid w:val="00CC6FFB"/>
    <w:rsid w:val="00CE12A5"/>
    <w:rsid w:val="00CE58E4"/>
    <w:rsid w:val="00D000FB"/>
    <w:rsid w:val="00D028C7"/>
    <w:rsid w:val="00D07714"/>
    <w:rsid w:val="00D413B1"/>
    <w:rsid w:val="00D67CD8"/>
    <w:rsid w:val="00D7256E"/>
    <w:rsid w:val="00D73F85"/>
    <w:rsid w:val="00D82D7A"/>
    <w:rsid w:val="00DA3598"/>
    <w:rsid w:val="00DC1097"/>
    <w:rsid w:val="00DC3AAE"/>
    <w:rsid w:val="00DD12F1"/>
    <w:rsid w:val="00DE5829"/>
    <w:rsid w:val="00DE7D29"/>
    <w:rsid w:val="00E106D7"/>
    <w:rsid w:val="00E1603B"/>
    <w:rsid w:val="00E240A8"/>
    <w:rsid w:val="00E27701"/>
    <w:rsid w:val="00E454DD"/>
    <w:rsid w:val="00E96F6B"/>
    <w:rsid w:val="00EB7212"/>
    <w:rsid w:val="00EC34E5"/>
    <w:rsid w:val="00EC5C33"/>
    <w:rsid w:val="00ED017B"/>
    <w:rsid w:val="00ED6F71"/>
    <w:rsid w:val="00EE6B21"/>
    <w:rsid w:val="00F072D7"/>
    <w:rsid w:val="00F127D0"/>
    <w:rsid w:val="00F3539B"/>
    <w:rsid w:val="00F75B3B"/>
    <w:rsid w:val="00F86CF3"/>
    <w:rsid w:val="00FC0B2E"/>
    <w:rsid w:val="00FC26C0"/>
    <w:rsid w:val="00FD251D"/>
    <w:rsid w:val="00FF2FFC"/>
    <w:rsid w:val="011C4B0E"/>
    <w:rsid w:val="03AD4AAE"/>
    <w:rsid w:val="05900F55"/>
    <w:rsid w:val="13120B96"/>
    <w:rsid w:val="17C50A50"/>
    <w:rsid w:val="1BC0289C"/>
    <w:rsid w:val="2E1345B7"/>
    <w:rsid w:val="3099776C"/>
    <w:rsid w:val="434D7AB7"/>
    <w:rsid w:val="4A5B32C9"/>
    <w:rsid w:val="4C7277D3"/>
    <w:rsid w:val="4D16642A"/>
    <w:rsid w:val="4E060421"/>
    <w:rsid w:val="53B43431"/>
    <w:rsid w:val="59F45E53"/>
    <w:rsid w:val="5A8850D5"/>
    <w:rsid w:val="5D1C4B1A"/>
    <w:rsid w:val="5EA2756F"/>
    <w:rsid w:val="64F33A98"/>
    <w:rsid w:val="78286C3C"/>
    <w:rsid w:val="7C4612D6"/>
    <w:rsid w:val="7E4E42CC"/>
    <w:rsid w:val="7ED5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338</Words>
  <Characters>1933</Characters>
  <Lines>16</Lines>
  <Paragraphs>4</Paragraphs>
  <TotalTime>0</TotalTime>
  <ScaleCrop>false</ScaleCrop>
  <LinksUpToDate>false</LinksUpToDate>
  <CharactersWithSpaces>2267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2022-08-29T09:35:00Z</dcterms:created>
  <dc:creator>huang heyuan</dc:creator>
  <cp:lastModifiedBy>Administrator</cp:lastModifiedBy>
  <cp:lastPrinted>2022-09-23T03:28:00Z</cp:lastPrinted>
  <dcterms:modified xsi:type="dcterms:W3CDTF">2023-02-22T06:30:14Z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8AF1FA8AF6D04B5C9209E518CABE411A</vt:lpwstr>
  </property>
</Properties>
</file>