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黑体" w:hAnsi="黑体" w:eastAsia="黑体" w:cs="黑体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lang w:val="en-US" w:eastAsia="zh-CN"/>
        </w:rPr>
        <w:t>三乡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</w:rPr>
        <w:t>镇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lang w:val="en-US" w:eastAsia="zh-CN"/>
        </w:rPr>
        <w:t>中恒装饰工程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  <w:highlight w:val="none"/>
          <w:lang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lang w:val="en-US" w:eastAsia="zh-CN"/>
        </w:rPr>
        <w:t>低效工业用地改造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根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据经批复规划条件论证，三乡镇人民政府拟对位于三乡镇鸦岗村西边领二巷7号的中恒装饰工程有限公司低效工业用地进行改造，由中恒装饰工程有限公司进行自主改造，采取全面改造的改造方式。改造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一、地块基本情况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地块位于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中山市三乡镇鸦岗村西边领二巷7号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，用地面积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2.4465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24365.47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36.55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pacing w:val="-6"/>
          <w:kern w:val="2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-6"/>
          <w:kern w:val="2"/>
          <w:sz w:val="32"/>
          <w:szCs w:val="32"/>
          <w:highlight w:val="none"/>
          <w:lang w:eastAsia="zh-CN"/>
        </w:rPr>
        <w:t>（二）标图入库情况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</w:rPr>
        <w:t>改造地块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2.4465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24365.47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36.55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</w:rPr>
        <w:t>在现行土地利用总体规划中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eastAsia="zh-CN"/>
        </w:rPr>
        <w:t>属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建设用地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0.0001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1.10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，属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非建设用地2.436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24364.37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36.55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eastAsia="zh-CN"/>
        </w:rPr>
        <w:t>在“二调”地类中属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建设用地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0.0001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1.10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，属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非建设用地2.436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24364.37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36.55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eastAsia="zh-CN"/>
        </w:rPr>
        <w:t>；在最新土地利用现状地类中属建设用地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/>
        </w:rPr>
        <w:t>1.8765公顷（18765.12平方米，折合28.15亩），非建设用地0.5600公顷（5600.35平方米，折合8.40亩）；地上建构筑物在2009年12月31日后建成，“二调”及最新土地利用现状地类中部分属非建设用地，不符合标图入库条件。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</w:rPr>
        <w:t>）权属情况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地块全部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属国有建设用地，土地用途为工业，改造涉及的土地已经确权、登记，不动产权证为粤（2019）中山市不动产权第0181807号，为土地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产权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中山市中恒装饰工程有限公司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自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2009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建成后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开始使用。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</w:rPr>
        <w:t>）土地利用现状情况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范围内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现有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栋建筑物，建筑面积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8846.27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平方米，现状容积率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0.36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，作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工业厂房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所用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为土地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产权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中山市中恒装饰工程有限公司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自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2009年建成后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开始使用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已按规定办理规划报建等手续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办理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房产证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。该地块目前已拆除建筑面积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平方米，改造前年产值为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82.08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，年税收为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2.19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参照我镇产出、税收平均值，经研究，认定属于低效工业用地。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改造地块不涉及到闲置、抵押、查封、历史文化资源要素、土壤环境潜在监管地块等情况。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</w:rPr>
        <w:t>）规划情况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改造地块在现行土地利用总体规划中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属建设用地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0.0001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1.10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，属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非建设用地2.436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24364.37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36.55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但在我市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在编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国土空间总体规划（2020-2035）安排建设用地规模。其中在国土空间总体规划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（在编）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中，属城镇建设用地2.436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24365.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36.55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亩），属非建设用地0公顷（0平方米，折合约0亩）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。该项目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已纳入《中山市城市更新（“三旧”）改造专项规划（2020-2035）》（中府函〔2022〕414号）。在《中山市三乡镇工业用地规划条件论证报告》（批复文号中府函[2022]223号）中，一类工业用地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.1414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公顷（2141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平方米，折合约32.12亩），规划容积率1.0-3.5，建筑密度35-60%，绿地率10-15%，建筑高度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生产性建筑高度≤50米，特殊工艺除外；配套设施建筑高度≤100米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城市道路用地0.2223公顷（2222.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平方米，折合约3.33亩）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水域0.0025公顷（24.86平方米，折合约0.037亩）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防护绿地用地0.0704公顷（70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.95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平方米，折合约1.056亩）。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改造地块位于城镇开发边界内不涉及永久基本农田、生态保护红线等管控要求。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二、改造意愿情况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改造范围涉及中山市中恒装饰工程有限公司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个权利主体，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三乡镇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人民政府已按照法律法规，就改造范围、土地现状、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主体及拟改造情况等事项征询涉及所有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产权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人改造意愿，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同意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将涉及土地、房屋纳入改造范围。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三、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改造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主体及拟改造情况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根据有关规划要求，改造项目严格按照国土空间总体规划、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经批复规划条件论证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管控要求实施建设。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在规划中属非建设用地部分，按照非建设用地进行管控。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控制性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详细规划中属道路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、公园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绿地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及水域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等公益性用地部分，日后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三乡镇人民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政府按规划开发建设时，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改造主体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应无偿将用地交给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三乡镇人民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政府使用。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改造项目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属工改工宗地项目，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拟采取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权利人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自主改造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方式，由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中山市中恒装饰工程有限公司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作为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主体，实施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全面改造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。改造后将用于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美容美妆互联网孵化基地高端产业园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，在符合详细规划的基础上，容积率不小于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2.9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，总建筑面积不小于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64242.24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平方米（含不计容建筑面积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6388.2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平方米），其中新建建筑面积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不少于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64242.24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平方米，保留建筑面积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项目相关情况符合国家《产业结构调整指导目录》、《中山市“三线一单”生态环境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分区管控方案》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、《中山市涉挥发性有机物项目环保管理规定》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0"/>
          <w:sz w:val="32"/>
          <w:szCs w:val="32"/>
          <w:highlight w:val="none"/>
          <w:u w:val="none"/>
        </w:rPr>
        <w:t>。改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造后年产值将达到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2.1927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亿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（约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600万/亩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，年税收将达到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913.66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（约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25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万/亩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主体拟投入资金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2.5亿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元，其中自有资金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1.5亿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元，银行借贷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1亿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开发时序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项目开发周期为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改造主体在动工前完成当期改造地块的拆除工作，项目整体在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2023年10月31日之前开工，在2025年9月30日前完工。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拟投入资金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2.5亿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元，拟建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不少于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建筑面积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64242.24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平方米（含不计容建筑面积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6388.2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平方米），保留建筑面积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六、实施监管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详见三乡镇人民政府与改造主体签订的项目监管协议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。</w:t>
      </w:r>
    </w:p>
    <w:sectPr>
      <w:pgSz w:w="11906" w:h="16838"/>
      <w:pgMar w:top="2098" w:right="1587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B408F"/>
    <w:rsid w:val="529B408F"/>
    <w:rsid w:val="6916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sz w:val="44"/>
    </w:rPr>
  </w:style>
  <w:style w:type="paragraph" w:styleId="3">
    <w:name w:val="toc 5"/>
    <w:basedOn w:val="1"/>
    <w:next w:val="1"/>
    <w:unhideWhenUsed/>
    <w:qFormat/>
    <w:uiPriority w:val="39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2023-08-07T02:05:00Z</dcterms:created>
  <dc:creator>秦燕</dc:creator>
  <cp:lastModifiedBy>秦燕</cp:lastModifiedBy>
  <dcterms:modified xsi:type="dcterms:W3CDTF">2023-08-07T02:06:04Z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0AF015AFBEF540EAA41A7488B1438C58</vt:lpwstr>
  </property>
</Properties>
</file>